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89" w:type="dxa"/>
        <w:jc w:val="left"/>
        <w:tblInd w:w="109" w:type="dxa"/>
        <w:tblBorders/>
        <w:tblCellMar>
          <w:top w:w="0" w:type="dxa"/>
          <w:left w:w="108" w:type="dxa"/>
          <w:bottom w:w="0" w:type="dxa"/>
          <w:right w:w="108" w:type="dxa"/>
        </w:tblCellMar>
        <w:tblLook w:val="04a0" w:noVBand="1" w:noHBand="0" w:firstRow="1" w:lastRow="0" w:firstColumn="1" w:lastColumn="0"/>
      </w:tblPr>
      <w:tblGrid>
        <w:gridCol w:w="5953"/>
        <w:gridCol w:w="2835"/>
      </w:tblGrid>
      <w:tr>
        <w:trPr>
          <w:trHeight w:val="300" w:hRule="atLeast"/>
        </w:trPr>
        <w:tc>
          <w:tcPr>
            <w:tcW w:w="5953" w:type="dxa"/>
            <w:tcBorders/>
            <w:shd w:color="auto" w:fill="auto" w:val="clear"/>
            <w:vAlign w:val="bottom"/>
          </w:tcPr>
          <w:p>
            <w:pPr>
              <w:pStyle w:val="Normal"/>
              <w:spacing w:lineRule="auto" w:line="360" w:before="0" w:after="0"/>
              <w:rPr>
                <w:b/>
                <w:b/>
                <w:sz w:val="28"/>
                <w:szCs w:val="28"/>
              </w:rPr>
            </w:pPr>
            <w:r>
              <w:rPr>
                <w:b/>
                <w:sz w:val="28"/>
                <w:szCs w:val="28"/>
              </w:rPr>
              <w:t>Σχολή:   ΜΗΧΑΝΙΚΩΝ</w:t>
            </w:r>
          </w:p>
          <w:p>
            <w:pPr>
              <w:pStyle w:val="Normal"/>
              <w:spacing w:lineRule="auto" w:line="360" w:before="0" w:after="0"/>
              <w:rPr>
                <w:b/>
                <w:b/>
                <w:sz w:val="28"/>
                <w:szCs w:val="28"/>
              </w:rPr>
            </w:pPr>
            <w:r>
              <w:rPr>
                <w:b/>
                <w:sz w:val="28"/>
                <w:szCs w:val="28"/>
              </w:rPr>
              <w:t>Τμήμα: ΜΗΧΑΝΙΚΩΝ ΠΛΗΡΟΦΟΡΙΚΗΣ &amp; ΥΠΟΛΟΓΙΣΤΩΝ</w:t>
            </w:r>
          </w:p>
        </w:tc>
        <w:tc>
          <w:tcPr>
            <w:tcW w:w="2835" w:type="dxa"/>
            <w:tcBorders/>
            <w:shd w:color="auto" w:fill="auto" w:val="clear"/>
          </w:tcPr>
          <w:p>
            <w:pPr>
              <w:pStyle w:val="Normal"/>
              <w:spacing w:lineRule="auto" w:line="360" w:before="0" w:after="0"/>
              <w:rPr>
                <w:rFonts w:ascii="Calibri" w:hAnsi="Calibri" w:eastAsia="Times New Roman" w:cs="Calibri"/>
                <w:b/>
                <w:b/>
                <w:i/>
                <w:i/>
                <w:color w:val="000000"/>
                <w:lang w:eastAsia="el-GR"/>
              </w:rPr>
            </w:pPr>
            <w:r>
              <w:rPr>
                <w:rFonts w:eastAsia="Times New Roman" w:cs="Calibri"/>
                <w:b/>
                <w:color w:val="000000"/>
                <w:lang w:eastAsia="el-GR"/>
              </w:rPr>
              <w:t xml:space="preserve">Πανεπιστημιούπολη </w:t>
            </w:r>
            <w:r>
              <w:rPr>
                <w:rFonts w:eastAsia="Times New Roman" w:cs="Calibri"/>
                <w:b/>
                <w:i/>
                <w:color w:val="000000"/>
                <w:lang w:eastAsia="el-GR"/>
              </w:rPr>
              <w:t>1</w:t>
            </w:r>
          </w:p>
          <w:p>
            <w:pPr>
              <w:pStyle w:val="Normal"/>
              <w:spacing w:lineRule="auto" w:line="360" w:before="0" w:after="0"/>
              <w:rPr>
                <w:rFonts w:ascii="Calibri" w:hAnsi="Calibri" w:eastAsia="Times New Roman" w:cs="Calibri"/>
                <w:b/>
                <w:b/>
                <w:color w:val="000000"/>
                <w:highlight w:val="yellow"/>
                <w:lang w:eastAsia="el-GR"/>
              </w:rPr>
            </w:pPr>
            <w:r>
              <w:rPr>
                <w:rFonts w:eastAsia="Times New Roman" w:cs="Calibri"/>
                <w:b/>
                <w:color w:val="000000"/>
                <w:lang w:eastAsia="el-GR"/>
              </w:rPr>
              <w:t>Ημερομηνία: 08</w:t>
            </w:r>
            <w:bookmarkStart w:id="0" w:name="_GoBack"/>
            <w:bookmarkEnd w:id="0"/>
            <w:r>
              <w:rPr>
                <w:rFonts w:eastAsia="Times New Roman" w:cs="Calibri"/>
                <w:b/>
                <w:color w:val="000000"/>
                <w:lang w:val="en-US" w:eastAsia="el-GR"/>
              </w:rPr>
              <w:t>-</w:t>
            </w:r>
            <w:r>
              <w:rPr>
                <w:rFonts w:eastAsia="Times New Roman" w:cs="Calibri"/>
                <w:b/>
                <w:color w:val="000000"/>
                <w:lang w:eastAsia="el-GR"/>
              </w:rPr>
              <w:t>0</w:t>
            </w:r>
            <w:r>
              <w:rPr>
                <w:rFonts w:eastAsia="Times New Roman" w:cs="Calibri"/>
                <w:b/>
                <w:color w:val="000000"/>
                <w:lang w:val="en-US" w:eastAsia="el-GR"/>
              </w:rPr>
              <w:t>5-201</w:t>
            </w:r>
            <w:r>
              <w:rPr>
                <w:rFonts w:eastAsia="Times New Roman" w:cs="Calibri"/>
                <w:b/>
                <w:color w:val="000000"/>
                <w:lang w:eastAsia="el-GR"/>
              </w:rPr>
              <w:t>9</w:t>
            </w:r>
          </w:p>
          <w:p>
            <w:pPr>
              <w:pStyle w:val="Normal"/>
              <w:spacing w:lineRule="auto" w:line="360" w:before="0" w:after="0"/>
              <w:rPr>
                <w:rFonts w:ascii="Calibri" w:hAnsi="Calibri" w:eastAsia="Times New Roman" w:cs="Calibri"/>
                <w:b/>
                <w:b/>
                <w:color w:val="000000"/>
                <w:lang w:val="en-US" w:eastAsia="el-GR"/>
              </w:rPr>
            </w:pPr>
            <w:r>
              <w:rPr>
                <w:rFonts w:eastAsia="Times New Roman" w:cs="Calibri"/>
                <w:b/>
                <w:color w:val="000000"/>
                <w:lang w:eastAsia="el-GR"/>
              </w:rPr>
              <w:t>Τηλέφωνο</w:t>
            </w:r>
            <w:r>
              <w:rPr>
                <w:rFonts w:eastAsia="Times New Roman" w:cs="Calibri"/>
                <w:b/>
                <w:color w:val="000000"/>
                <w:lang w:val="en-US" w:eastAsia="el-GR"/>
              </w:rPr>
              <w:t>: 210-5385312</w:t>
            </w:r>
          </w:p>
          <w:p>
            <w:pPr>
              <w:pStyle w:val="Normal"/>
              <w:spacing w:lineRule="auto" w:line="360" w:before="0" w:after="0"/>
              <w:rPr>
                <w:rFonts w:ascii="Calibri" w:hAnsi="Calibri" w:eastAsia="Times New Roman" w:cs="Calibri"/>
                <w:b/>
                <w:b/>
                <w:color w:val="000000"/>
                <w:lang w:val="en-US" w:eastAsia="el-GR"/>
              </w:rPr>
            </w:pPr>
            <w:r>
              <w:rPr>
                <w:rFonts w:eastAsia="Times New Roman" w:cs="Calibri"/>
                <w:b/>
                <w:color w:val="000000"/>
                <w:lang w:val="en-US" w:eastAsia="el-GR"/>
              </w:rPr>
              <w:t>E-mail: ice@uniwa.gr</w:t>
            </w:r>
          </w:p>
        </w:tc>
      </w:tr>
    </w:tbl>
    <w:p>
      <w:pPr>
        <w:pStyle w:val="Normal"/>
        <w:spacing w:lineRule="auto" w:line="360"/>
        <w:jc w:val="center"/>
        <w:rPr>
          <w:b/>
          <w:b/>
          <w:sz w:val="32"/>
          <w:szCs w:val="32"/>
          <w:lang w:val="en-US"/>
        </w:rPr>
      </w:pPr>
      <w:r>
        <w:rPr>
          <w:b/>
          <w:sz w:val="32"/>
          <w:szCs w:val="32"/>
          <w:lang w:val="en-US"/>
        </w:rPr>
      </w:r>
    </w:p>
    <w:p>
      <w:pPr>
        <w:pStyle w:val="Normal"/>
        <w:spacing w:lineRule="auto" w:line="360"/>
        <w:jc w:val="center"/>
        <w:rPr>
          <w:b/>
          <w:b/>
          <w:sz w:val="32"/>
          <w:szCs w:val="32"/>
        </w:rPr>
      </w:pPr>
      <w:r>
        <w:rPr>
          <w:b/>
          <w:sz w:val="32"/>
          <w:szCs w:val="32"/>
        </w:rPr>
        <w:t>ΑΝΑΚΟΙΝΩΣΗ ΕΝΑΡΞΗΣ ΠΡΑΚΤΙΚΗΣ ΑΣΚΗΣΗΣ ΜΕΣΩ ΤΟΥ ΠΡΟΓΡΑΜΜΑΤΟΣ ΕΣΠΑ (ΓΙΑ ΤΟΥΣ ΦΟΙΤΗΤΕΣ ΠΟΥ ΘΑ ΛΑΒΟΥΝ ΠΤΥΧΙΟ ΤΕΙ)</w:t>
      </w:r>
    </w:p>
    <w:p>
      <w:pPr>
        <w:pStyle w:val="Normal"/>
        <w:spacing w:lineRule="auto" w:line="360"/>
        <w:ind w:firstLine="720"/>
        <w:jc w:val="both"/>
        <w:rPr>
          <w:sz w:val="24"/>
          <w:szCs w:val="24"/>
        </w:rPr>
      </w:pPr>
      <w:r>
        <w:rPr>
          <w:sz w:val="24"/>
          <w:szCs w:val="24"/>
        </w:rPr>
      </w:r>
    </w:p>
    <w:p>
      <w:pPr>
        <w:pStyle w:val="Normal"/>
        <w:spacing w:lineRule="auto" w:line="360"/>
        <w:ind w:firstLine="720"/>
        <w:jc w:val="both"/>
        <w:rPr>
          <w:sz w:val="24"/>
          <w:szCs w:val="24"/>
        </w:rPr>
      </w:pPr>
      <w:r>
        <w:rPr>
          <w:sz w:val="24"/>
          <w:szCs w:val="24"/>
        </w:rPr>
        <w:t>Ενημερώνουμε τους φοιτητές του Τμήματος Μηχανικών Πληροφορικής και Υπολογιστών που θα λάβουν πτυχίο ΤΕΙ και επιθυμούν να πραγματοποιήσουν την πρακτική τους άσκηση μέσω του προγράμματος ΕΣΠΑ, ότι υπάρχουν οκτώ (8) θέσεις πρακτικής άσκησης μέσω της Πράξης «Πρακτική Άσκηση Τριτοβάθμιας Εκπαίδευσης του Πανεπιστημίου Δυτικής Αττικής», με ημερομηνία έναρξης πρακτικής άσκησης την 01/07/2019.</w:t>
      </w:r>
    </w:p>
    <w:p>
      <w:pPr>
        <w:pStyle w:val="Normal"/>
        <w:spacing w:lineRule="auto" w:line="360"/>
        <w:ind w:firstLine="360"/>
        <w:jc w:val="both"/>
        <w:rPr/>
      </w:pPr>
      <w:r>
        <w:rPr>
          <w:sz w:val="24"/>
          <w:szCs w:val="24"/>
        </w:rPr>
        <w:t xml:space="preserve">Οι φοιτητές που ενδιαφέρονται να πραγματοποιήσουν την πρακτική τους άσκηση, παρακαλούνται να καταθέσουν στη Γραμματεία του Τμήματος </w:t>
      </w:r>
      <w:hyperlink r:id="rId2">
        <w:r>
          <w:rPr>
            <w:rStyle w:val="InternetLink"/>
            <w:sz w:val="24"/>
            <w:szCs w:val="24"/>
          </w:rPr>
          <w:t>αίτηση</w:t>
        </w:r>
      </w:hyperlink>
      <w:r>
        <w:rPr>
          <w:sz w:val="24"/>
          <w:szCs w:val="24"/>
        </w:rPr>
        <w:t xml:space="preserve"> συμμετοχής μέχρι την Τετάρτη 22/05/2019 δηλώνοντας, κατά σειρά προτεραιότητας, το ενδιαφέρον τους για τρεις το πολύ από τις διαθέσιμες θέσεις ΠΑ που είναι αναρτημένες στον πίνακα ανακοινώσεων του Τμήματος και στο «Σύστημα Κεντρικής Υποστήριξης της Πρακτικής Άσκησης Φοιτητών ΑΕΙ» (https://atlas.grnet.gr/). </w:t>
      </w:r>
    </w:p>
    <w:p>
      <w:pPr>
        <w:pStyle w:val="Normal"/>
        <w:spacing w:lineRule="auto" w:line="360"/>
        <w:jc w:val="both"/>
        <w:rPr>
          <w:sz w:val="24"/>
          <w:szCs w:val="24"/>
        </w:rPr>
      </w:pPr>
      <w:r>
        <w:rPr>
          <w:sz w:val="24"/>
          <w:szCs w:val="24"/>
        </w:rPr>
        <w:t>Η επιλογή των φοιτητών θα γίνει με τα εξής κριτήρια:</w:t>
      </w:r>
    </w:p>
    <w:p>
      <w:pPr>
        <w:pStyle w:val="ListParagraph"/>
        <w:numPr>
          <w:ilvl w:val="0"/>
          <w:numId w:val="1"/>
        </w:numPr>
        <w:spacing w:before="0" w:after="0"/>
        <w:rPr>
          <w:sz w:val="24"/>
          <w:szCs w:val="24"/>
        </w:rPr>
      </w:pPr>
      <w:r>
        <w:rPr>
          <w:sz w:val="24"/>
          <w:szCs w:val="24"/>
        </w:rPr>
        <w:t>Ο φοιτητής να διανύει το 8ο (ή μεταγενέστερο) εξάμηνο σπουδών (κριτήριο αποκλεισμού),</w:t>
      </w:r>
    </w:p>
    <w:p>
      <w:pPr>
        <w:pStyle w:val="ListParagraph"/>
        <w:numPr>
          <w:ilvl w:val="0"/>
          <w:numId w:val="1"/>
        </w:numPr>
        <w:spacing w:before="0" w:after="0"/>
        <w:rPr>
          <w:sz w:val="24"/>
          <w:szCs w:val="24"/>
        </w:rPr>
      </w:pPr>
      <w:r>
        <w:rPr>
          <w:sz w:val="24"/>
          <w:szCs w:val="24"/>
        </w:rPr>
        <w:t>Ο φοιτητής να έχει παρακολουθήσει με επιτυχία τα 2/3 του συνόλου των μαθημάτων του προγράμματος σπουδών (κριτήριο αποκλεισμού),</w:t>
      </w:r>
    </w:p>
    <w:p>
      <w:pPr>
        <w:pStyle w:val="ListParagraph"/>
        <w:numPr>
          <w:ilvl w:val="0"/>
          <w:numId w:val="1"/>
        </w:numPr>
        <w:spacing w:before="0" w:after="0"/>
        <w:rPr>
          <w:sz w:val="24"/>
          <w:szCs w:val="24"/>
        </w:rPr>
      </w:pPr>
      <w:r>
        <w:rPr>
          <w:sz w:val="24"/>
          <w:szCs w:val="24"/>
        </w:rPr>
        <w:t>Ο φοιτητής να έχει ολοκληρώσει επιτυχώς τον αριθμό των απαιτούμενων μαθημάτων ειδικότητας. (κριτήριο αποκλεισμού).</w:t>
      </w:r>
    </w:p>
    <w:p>
      <w:pPr>
        <w:pStyle w:val="ListParagraph"/>
        <w:numPr>
          <w:ilvl w:val="0"/>
          <w:numId w:val="1"/>
        </w:numPr>
        <w:spacing w:before="0" w:after="0"/>
        <w:rPr>
          <w:sz w:val="24"/>
          <w:szCs w:val="24"/>
        </w:rPr>
      </w:pPr>
      <w:r>
        <w:rPr>
          <w:sz w:val="24"/>
          <w:szCs w:val="24"/>
        </w:rPr>
        <w:t>Κοινωνικά κριτήρια (όπως υπαγωγή σε ειδική κοινωνική ομάδα) (μόρια:20),</w:t>
      </w:r>
    </w:p>
    <w:p>
      <w:pPr>
        <w:pStyle w:val="ListParagraph"/>
        <w:numPr>
          <w:ilvl w:val="0"/>
          <w:numId w:val="1"/>
        </w:numPr>
        <w:spacing w:before="0" w:after="0"/>
        <w:rPr>
          <w:sz w:val="24"/>
          <w:szCs w:val="24"/>
        </w:rPr>
      </w:pPr>
      <w:r>
        <w:rPr>
          <w:sz w:val="24"/>
          <w:szCs w:val="24"/>
        </w:rPr>
        <w:t>Μέσος όρος βαθμολογίας ολοκληρωμένων μαθημάτων (μόρια: 20),</w:t>
      </w:r>
    </w:p>
    <w:p>
      <w:pPr>
        <w:pStyle w:val="ListParagraph"/>
        <w:numPr>
          <w:ilvl w:val="0"/>
          <w:numId w:val="1"/>
        </w:numPr>
        <w:spacing w:before="0" w:after="0"/>
        <w:rPr>
          <w:sz w:val="24"/>
          <w:szCs w:val="24"/>
        </w:rPr>
      </w:pPr>
      <w:r>
        <w:rPr>
          <w:sz w:val="24"/>
          <w:szCs w:val="24"/>
        </w:rPr>
        <w:t>Αριθμός μαθημάτων, επιπλέον των 2/3 του συνόλου των μαθημάτων που έχει παρακολουθήσει με επιτυχία (κριτήριο 2), στα οποία έχει εξεταστεί επιτυχώς ο φοιτητής (μόρια: 10).</w:t>
      </w:r>
    </w:p>
    <w:p>
      <w:pPr>
        <w:pStyle w:val="Normal"/>
        <w:spacing w:lineRule="auto" w:line="360"/>
        <w:ind w:firstLine="720"/>
        <w:jc w:val="both"/>
        <w:rPr/>
      </w:pPr>
      <w:r>
        <w:rPr>
          <w:sz w:val="24"/>
          <w:szCs w:val="24"/>
        </w:rPr>
        <w:t>Τα αποτελέσματα θα ανακοινωθούν την</w:t>
      </w:r>
      <w:r>
        <w:rPr>
          <w:i/>
          <w:sz w:val="24"/>
          <w:szCs w:val="24"/>
        </w:rPr>
        <w:t xml:space="preserve"> </w:t>
      </w:r>
      <w:r>
        <w:rPr>
          <w:sz w:val="24"/>
          <w:szCs w:val="24"/>
        </w:rPr>
        <w:t xml:space="preserve">Τρίτη 28/05/2019 στην ιστοσελίδα του Τμήματος: </w:t>
      </w:r>
      <w:hyperlink r:id="rId3">
        <w:r>
          <w:rPr>
            <w:rStyle w:val="InternetLink"/>
            <w:i/>
            <w:sz w:val="24"/>
            <w:szCs w:val="24"/>
          </w:rPr>
          <w:t>http://www.ice.uniwa.gr/education/undergraduate/internship/</w:t>
        </w:r>
      </w:hyperlink>
      <w:r>
        <w:rPr>
          <w:i/>
          <w:sz w:val="24"/>
          <w:szCs w:val="24"/>
        </w:rPr>
        <w:t xml:space="preserve"> </w:t>
      </w:r>
    </w:p>
    <w:p>
      <w:pPr>
        <w:pStyle w:val="Normal"/>
        <w:spacing w:lineRule="auto" w:line="360"/>
        <w:ind w:firstLine="720"/>
        <w:jc w:val="both"/>
        <w:rPr>
          <w:sz w:val="24"/>
          <w:szCs w:val="24"/>
        </w:rPr>
      </w:pPr>
      <w:r>
        <w:rPr>
          <w:sz w:val="24"/>
          <w:szCs w:val="24"/>
          <w:lang w:val="en-US"/>
        </w:rPr>
        <w:t>O</w:t>
      </w:r>
      <w:r>
        <w:rPr>
          <w:sz w:val="24"/>
          <w:szCs w:val="24"/>
        </w:rPr>
        <w:t xml:space="preserve"> φοιτητής, που επιθυμεί να υποβάλει ένσταση σχετικά με τα αποτελέσματα της αξιολόγησης, δικαιούται να προσφύγει εγγράφως προς τη Γραμματεία του Τμήματος εντός τριών (3) εργάσιμων ημερών από την κοινοποίηση των αποτελεσμάτων αξιολόγησης. </w:t>
      </w:r>
    </w:p>
    <w:p>
      <w:pPr>
        <w:pStyle w:val="Normal"/>
        <w:spacing w:lineRule="auto" w:line="360"/>
        <w:ind w:firstLine="720"/>
        <w:jc w:val="both"/>
        <w:rPr>
          <w:sz w:val="24"/>
          <w:szCs w:val="24"/>
        </w:rPr>
      </w:pPr>
      <w:r>
        <w:rPr>
          <w:sz w:val="24"/>
          <w:szCs w:val="24"/>
        </w:rPr>
        <w:t>Η αποζημίωση των φοιτητών από το πρόγραμμα ΕΣΠΑ, ορίζεται στο ποσό των 280,00€/μήνα, συμπεριλαμβανομένης της ασφαλιστικής κάλυψης.</w:t>
      </w:r>
    </w:p>
    <w:p>
      <w:pPr>
        <w:pStyle w:val="Normal"/>
        <w:spacing w:lineRule="auto" w:line="360"/>
        <w:ind w:firstLine="720"/>
        <w:jc w:val="both"/>
        <w:rPr>
          <w:sz w:val="24"/>
          <w:szCs w:val="24"/>
        </w:rPr>
      </w:pPr>
      <w:r>
        <w:rPr>
          <w:sz w:val="24"/>
          <w:szCs w:val="24"/>
        </w:rPr>
        <w:t xml:space="preserve">Οι Φορείς Υποδοχής Πρακτικής Άσκησης που επιθυμούν να απασχολήσουν φοιτητές για Πρακτική Άσκηση μέσω ΕΣΠΑ, οφείλουν υποχρεωτικά να εγγραφούν και να πιστοποιηθούν στο Πληροφοριακό σύστημα ΑΤΛΑΣ του Υ.Π.Ε.Θ. http://atlas.grnet.gr/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w:t>
      </w:r>
    </w:p>
    <w:p>
      <w:pPr>
        <w:pStyle w:val="Normal"/>
        <w:spacing w:lineRule="auto" w:line="360" w:before="0" w:after="200"/>
        <w:ind w:left="3600" w:hanging="0"/>
        <w:jc w:val="center"/>
        <w:rPr/>
      </w:pPr>
      <w:r>
        <w:rPr>
          <w:b/>
          <w:sz w:val="24"/>
          <w:szCs w:val="24"/>
        </w:rPr>
        <w:t>Ο Επιστημονικός Υπεύθυνος του Τμήματος              Καθ. Δημήτριος Κεχαγιάς</w:t>
      </w:r>
    </w:p>
    <w:sectPr>
      <w:headerReference w:type="default" r:id="rId4"/>
      <w:footerReference w:type="default" r:id="rId5"/>
      <w:type w:val="nextPage"/>
      <w:pgSz w:w="11906" w:h="16838"/>
      <w:pgMar w:left="1800" w:right="1800" w:header="708" w:top="1440" w:footer="792" w:bottom="28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587" w:type="dxa"/>
      <w:jc w:val="center"/>
      <w:tblInd w:w="0" w:type="dxa"/>
      <w:tblBorders>
        <w:top w:val="single" w:sz="4" w:space="0" w:color="00000A"/>
      </w:tblBorders>
      <w:tblCellMar>
        <w:top w:w="0" w:type="dxa"/>
        <w:left w:w="108" w:type="dxa"/>
        <w:bottom w:w="0" w:type="dxa"/>
        <w:right w:w="108" w:type="dxa"/>
      </w:tblCellMar>
      <w:tblLook w:val="04a0" w:noVBand="1" w:noHBand="0" w:firstRow="1" w:lastRow="0" w:firstColumn="1" w:lastColumn="0"/>
    </w:tblPr>
    <w:tblGrid>
      <w:gridCol w:w="1176"/>
      <w:gridCol w:w="3526"/>
      <w:gridCol w:w="4467"/>
      <w:gridCol w:w="1417"/>
    </w:tblGrid>
    <w:tr>
      <w:trPr/>
      <w:tc>
        <w:tcPr>
          <w:tcW w:w="1176" w:type="dxa"/>
          <w:tcBorders>
            <w:top w:val="single" w:sz="4" w:space="0" w:color="00000A"/>
          </w:tcBorders>
          <w:shd w:color="auto" w:fill="auto" w:val="clear"/>
          <w:vAlign w:val="center"/>
        </w:tcPr>
        <w:p>
          <w:pPr>
            <w:pStyle w:val="Footer"/>
            <w:ind w:right="48" w:hanging="0"/>
            <w:jc w:val="center"/>
            <w:rPr/>
          </w:pPr>
          <w:r>
            <w:rPr/>
            <w:drawing>
              <wp:inline distT="0" distB="0" distL="0" distR="0">
                <wp:extent cx="619125" cy="533400"/>
                <wp:effectExtent l="0" t="0" r="0" b="0"/>
                <wp:docPr id="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62" descr="ΕΕΕΚΤ(rgb)"/>
                        <pic:cNvPicPr>
                          <a:picLocks noChangeAspect="1" noChangeArrowheads="1"/>
                        </pic:cNvPicPr>
                      </pic:nvPicPr>
                      <pic:blipFill>
                        <a:blip r:embed="rId1"/>
                        <a:stretch>
                          <a:fillRect/>
                        </a:stretch>
                      </pic:blipFill>
                      <pic:spPr bwMode="auto">
                        <a:xfrm>
                          <a:off x="0" y="0"/>
                          <a:ext cx="619125" cy="533400"/>
                        </a:xfrm>
                        <a:prstGeom prst="rect">
                          <a:avLst/>
                        </a:prstGeom>
                      </pic:spPr>
                    </pic:pic>
                  </a:graphicData>
                </a:graphic>
              </wp:inline>
            </w:drawing>
          </w:r>
        </w:p>
      </w:tc>
      <w:tc>
        <w:tcPr>
          <w:tcW w:w="3526" w:type="dxa"/>
          <w:tcBorders>
            <w:top w:val="single" w:sz="4" w:space="0" w:color="00000A"/>
          </w:tcBorders>
          <w:shd w:color="auto" w:fill="auto" w:val="clear"/>
          <w:vAlign w:val="center"/>
        </w:tcPr>
        <w:p>
          <w:pPr>
            <w:pStyle w:val="Footer"/>
            <w:ind w:right="48" w:hanging="0"/>
            <w:jc w:val="center"/>
            <w:rPr/>
          </w:pPr>
          <w:r>
            <w:rPr/>
            <w:drawing>
              <wp:inline distT="0" distB="0" distL="0" distR="0">
                <wp:extent cx="2190750" cy="742950"/>
                <wp:effectExtent l="0" t="0" r="0" b="0"/>
                <wp:docPr id="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63" descr="logo_EYD"/>
                        <pic:cNvPicPr>
                          <a:picLocks noChangeAspect="1" noChangeArrowheads="1"/>
                        </pic:cNvPicPr>
                      </pic:nvPicPr>
                      <pic:blipFill>
                        <a:blip r:embed="rId2"/>
                        <a:stretch>
                          <a:fillRect/>
                        </a:stretch>
                      </pic:blipFill>
                      <pic:spPr bwMode="auto">
                        <a:xfrm>
                          <a:off x="0" y="0"/>
                          <a:ext cx="2190750" cy="742950"/>
                        </a:xfrm>
                        <a:prstGeom prst="rect">
                          <a:avLst/>
                        </a:prstGeom>
                      </pic:spPr>
                    </pic:pic>
                  </a:graphicData>
                </a:graphic>
              </wp:inline>
            </w:drawing>
          </w:r>
        </w:p>
      </w:tc>
      <w:tc>
        <w:tcPr>
          <w:tcW w:w="4467" w:type="dxa"/>
          <w:tcBorders>
            <w:top w:val="single" w:sz="4" w:space="0" w:color="00000A"/>
          </w:tcBorders>
          <w:shd w:color="auto" w:fill="auto" w:val="clear"/>
          <w:vAlign w:val="center"/>
        </w:tcPr>
        <w:p>
          <w:pPr>
            <w:pStyle w:val="Footer"/>
            <w:ind w:right="48" w:hanging="0"/>
            <w:jc w:val="center"/>
            <w:rPr/>
          </w:pPr>
          <w:r>
            <w:rPr/>
            <w:drawing>
              <wp:inline distT="0" distB="0" distL="0" distR="0">
                <wp:extent cx="2819400" cy="314325"/>
                <wp:effectExtent l="0" t="0" r="0" b="0"/>
                <wp:docPr id="4"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28" descr="ΕΠΑνΕΚ_horizontal_rgb"/>
                        <pic:cNvPicPr>
                          <a:picLocks noChangeAspect="1" noChangeArrowheads="1"/>
                        </pic:cNvPicPr>
                      </pic:nvPicPr>
                      <pic:blipFill>
                        <a:blip r:embed="rId3"/>
                        <a:stretch>
                          <a:fillRect/>
                        </a:stretch>
                      </pic:blipFill>
                      <pic:spPr bwMode="auto">
                        <a:xfrm>
                          <a:off x="0" y="0"/>
                          <a:ext cx="2819400" cy="314325"/>
                        </a:xfrm>
                        <a:prstGeom prst="rect">
                          <a:avLst/>
                        </a:prstGeom>
                      </pic:spPr>
                    </pic:pic>
                  </a:graphicData>
                </a:graphic>
              </wp:inline>
            </w:drawing>
          </w:r>
        </w:p>
      </w:tc>
      <w:tc>
        <w:tcPr>
          <w:tcW w:w="1417" w:type="dxa"/>
          <w:tcBorders>
            <w:top w:val="single" w:sz="4" w:space="0" w:color="00000A"/>
          </w:tcBorders>
          <w:shd w:color="auto" w:fill="auto" w:val="clear"/>
          <w:vAlign w:val="center"/>
        </w:tcPr>
        <w:p>
          <w:pPr>
            <w:pStyle w:val="Footer"/>
            <w:ind w:right="48" w:hanging="0"/>
            <w:jc w:val="center"/>
            <w:rPr>
              <w:b/>
              <w:b/>
            </w:rPr>
          </w:pPr>
          <w:r>
            <w:rPr/>
            <w:drawing>
              <wp:inline distT="0" distB="0" distL="0" distR="0">
                <wp:extent cx="781050" cy="476250"/>
                <wp:effectExtent l="0" t="0" r="0" b="0"/>
                <wp:docPr id="5"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29" descr="ESPA"/>
                        <pic:cNvPicPr>
                          <a:picLocks noChangeAspect="1" noChangeArrowheads="1"/>
                        </pic:cNvPicPr>
                      </pic:nvPicPr>
                      <pic:blipFill>
                        <a:blip r:embed="rId4"/>
                        <a:stretch>
                          <a:fillRect/>
                        </a:stretch>
                      </pic:blipFill>
                      <pic:spPr bwMode="auto">
                        <a:xfrm>
                          <a:off x="0" y="0"/>
                          <a:ext cx="781050" cy="476250"/>
                        </a:xfrm>
                        <a:prstGeom prst="rect">
                          <a:avLst/>
                        </a:prstGeom>
                      </pic:spPr>
                    </pic:pic>
                  </a:graphicData>
                </a:graphic>
              </wp:inline>
            </w:drawing>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522" w:type="dxa"/>
      <w:jc w:val="left"/>
      <w:tblInd w:w="0" w:type="dxa"/>
      <w:tblBorders/>
      <w:tblCellMar>
        <w:top w:w="0" w:type="dxa"/>
        <w:left w:w="108" w:type="dxa"/>
        <w:bottom w:w="0" w:type="dxa"/>
        <w:right w:w="108" w:type="dxa"/>
      </w:tblCellMar>
      <w:tblLook w:val="04a0" w:noVBand="1" w:noHBand="0" w:firstRow="1" w:lastRow="0" w:firstColumn="1" w:lastColumn="0"/>
    </w:tblPr>
    <w:tblGrid>
      <w:gridCol w:w="2166"/>
      <w:gridCol w:w="6355"/>
    </w:tblGrid>
    <w:tr>
      <w:trPr>
        <w:trHeight w:val="2121" w:hRule="atLeast"/>
      </w:trPr>
      <w:tc>
        <w:tcPr>
          <w:tcW w:w="2166" w:type="dxa"/>
          <w:tcBorders/>
          <w:shd w:fill="auto" w:val="clear"/>
        </w:tcPr>
        <w:p>
          <w:pPr>
            <w:pStyle w:val="Heading1"/>
            <w:spacing w:before="7" w:after="0"/>
            <w:jc w:val="left"/>
            <w:rPr>
              <w:lang w:val="en-US"/>
            </w:rPr>
          </w:pPr>
          <w:r>
            <w:rPr/>
            <w:drawing>
              <wp:inline distT="0" distB="0" distL="0" distR="0">
                <wp:extent cx="1238250" cy="1238250"/>
                <wp:effectExtent l="0" t="0" r="0" b="0"/>
                <wp:docPr id="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1" descr="platon2"/>
                        <pic:cNvPicPr>
                          <a:picLocks noChangeAspect="1" noChangeArrowheads="1"/>
                        </pic:cNvPicPr>
                      </pic:nvPicPr>
                      <pic:blipFill>
                        <a:blip r:embed="rId1"/>
                        <a:stretch>
                          <a:fillRect/>
                        </a:stretch>
                      </pic:blipFill>
                      <pic:spPr bwMode="auto">
                        <a:xfrm>
                          <a:off x="0" y="0"/>
                          <a:ext cx="1238250" cy="1238250"/>
                        </a:xfrm>
                        <a:prstGeom prst="rect">
                          <a:avLst/>
                        </a:prstGeom>
                      </pic:spPr>
                    </pic:pic>
                  </a:graphicData>
                </a:graphic>
              </wp:inline>
            </w:drawing>
          </w:r>
        </w:p>
      </w:tc>
      <w:tc>
        <w:tcPr>
          <w:tcW w:w="6355" w:type="dxa"/>
          <w:tcBorders/>
          <w:shd w:fill="auto" w:val="clear"/>
        </w:tcPr>
        <w:p>
          <w:pPr>
            <w:pStyle w:val="Heading1"/>
            <w:spacing w:before="7" w:after="0"/>
            <w:jc w:val="left"/>
            <w:rPr/>
          </w:pPr>
          <w:r>
            <w:rPr/>
          </w:r>
        </w:p>
        <w:p>
          <w:pPr>
            <w:pStyle w:val="Normal"/>
            <w:rPr/>
          </w:pPr>
          <w:r>
            <w:rPr/>
          </w:r>
        </w:p>
        <w:p>
          <w:pPr>
            <w:pStyle w:val="Normal"/>
            <w:widowControl/>
            <w:bidi w:val="0"/>
            <w:spacing w:lineRule="auto" w:line="276" w:before="0" w:after="200"/>
            <w:jc w:val="left"/>
            <w:rPr>
              <w:color w:val="17365D"/>
              <w:sz w:val="36"/>
              <w:szCs w:val="36"/>
            </w:rPr>
          </w:pPr>
          <w:r>
            <w:rPr>
              <w:color w:val="17365D"/>
              <w:sz w:val="36"/>
              <w:szCs w:val="36"/>
            </w:rPr>
            <w:t>ΠΑΝΕΠΙΣΤΗΜΙΟ ΔΥΤΙΚΗΣ ΑΤΤΙΚΗΣ</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8d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Heading1">
    <w:name w:val="Heading 1"/>
    <w:basedOn w:val="Normal"/>
    <w:next w:val="Normal"/>
    <w:link w:val="Heading1Char"/>
    <w:qFormat/>
    <w:rsid w:val="000b0df7"/>
    <w:pPr>
      <w:keepNext/>
      <w:widowControl w:val="false"/>
      <w:tabs>
        <w:tab w:val="center" w:pos="4676" w:leader="none"/>
      </w:tabs>
      <w:spacing w:lineRule="auto" w:line="240" w:before="7" w:after="0"/>
      <w:jc w:val="center"/>
      <w:outlineLvl w:val="0"/>
    </w:pPr>
    <w:rPr>
      <w:rFonts w:ascii="Times New Roman" w:hAnsi="Times New Roman" w:eastAsia="Times New Roman" w:cs="Times New Roman"/>
      <w:b/>
      <w:bCs/>
      <w:color w:val="000000"/>
      <w:sz w:val="24"/>
      <w:szCs w:val="24"/>
      <w:lang w:eastAsia="el-GR"/>
    </w:rPr>
  </w:style>
  <w:style w:type="paragraph" w:styleId="Heading2">
    <w:name w:val="Heading 2"/>
    <w:basedOn w:val="Normal"/>
    <w:next w:val="Normal"/>
    <w:link w:val="Heading2Char"/>
    <w:uiPriority w:val="9"/>
    <w:semiHidden/>
    <w:unhideWhenUsed/>
    <w:qFormat/>
    <w:rsid w:val="003e25a5"/>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e1b94"/>
    <w:rPr>
      <w:rFonts w:ascii="Tahoma" w:hAnsi="Tahoma" w:cs="Tahoma"/>
      <w:sz w:val="16"/>
      <w:szCs w:val="16"/>
    </w:rPr>
  </w:style>
  <w:style w:type="character" w:styleId="HeaderChar" w:customStyle="1">
    <w:name w:val="Header Char"/>
    <w:basedOn w:val="DefaultParagraphFont"/>
    <w:link w:val="Header"/>
    <w:uiPriority w:val="99"/>
    <w:qFormat/>
    <w:rsid w:val="00a5540a"/>
    <w:rPr/>
  </w:style>
  <w:style w:type="character" w:styleId="FooterChar" w:customStyle="1">
    <w:name w:val="Footer Char"/>
    <w:basedOn w:val="DefaultParagraphFont"/>
    <w:link w:val="Footer"/>
    <w:uiPriority w:val="99"/>
    <w:qFormat/>
    <w:rsid w:val="00a5540a"/>
    <w:rPr/>
  </w:style>
  <w:style w:type="character" w:styleId="Heading1Char" w:customStyle="1">
    <w:name w:val="Heading 1 Char"/>
    <w:basedOn w:val="DefaultParagraphFont"/>
    <w:link w:val="Heading1"/>
    <w:qFormat/>
    <w:rsid w:val="000b0df7"/>
    <w:rPr>
      <w:rFonts w:ascii="Times New Roman" w:hAnsi="Times New Roman" w:eastAsia="Times New Roman" w:cs="Times New Roman"/>
      <w:b/>
      <w:bCs/>
      <w:color w:val="000000"/>
      <w:sz w:val="24"/>
      <w:szCs w:val="24"/>
      <w:lang w:eastAsia="el-GR"/>
    </w:rPr>
  </w:style>
  <w:style w:type="character" w:styleId="Heading2Char" w:customStyle="1">
    <w:name w:val="Heading 2 Char"/>
    <w:basedOn w:val="DefaultParagraphFont"/>
    <w:link w:val="Heading2"/>
    <w:uiPriority w:val="9"/>
    <w:semiHidden/>
    <w:qFormat/>
    <w:rsid w:val="003e25a5"/>
    <w:rPr>
      <w:rFonts w:ascii="Cambria" w:hAnsi="Cambria" w:eastAsia="" w:cs="" w:asciiTheme="majorHAnsi" w:cstheme="majorBidi" w:eastAsiaTheme="majorEastAsia" w:hAnsiTheme="majorHAnsi"/>
      <w:color w:val="365F91" w:themeColor="accent1" w:themeShade="bf"/>
      <w:sz w:val="26"/>
      <w:szCs w:val="26"/>
    </w:rPr>
  </w:style>
  <w:style w:type="character" w:styleId="InternetLink">
    <w:name w:val="Internet Link"/>
    <w:basedOn w:val="DefaultParagraphFont"/>
    <w:uiPriority w:val="99"/>
    <w:unhideWhenUsed/>
    <w:rsid w:val="00715e52"/>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DemiLight"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3740eb"/>
    <w:pPr>
      <w:spacing w:before="0" w:after="200"/>
      <w:ind w:left="720" w:hanging="0"/>
      <w:contextualSpacing/>
    </w:pPr>
    <w:rPr/>
  </w:style>
  <w:style w:type="paragraph" w:styleId="BalloonText">
    <w:name w:val="Balloon Text"/>
    <w:basedOn w:val="Normal"/>
    <w:link w:val="BalloonTextChar"/>
    <w:uiPriority w:val="99"/>
    <w:semiHidden/>
    <w:unhideWhenUsed/>
    <w:qFormat/>
    <w:rsid w:val="008e1b94"/>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a5540a"/>
    <w:pPr>
      <w:tabs>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a5540a"/>
    <w:pPr>
      <w:tabs>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ce.uniwa.gr/wp-content/uploads/2019/05/&#913;&#943;&#964;&#951;&#963;&#951;.docx" TargetMode="External"/><Relationship Id="rId3" Type="http://schemas.openxmlformats.org/officeDocument/2006/relationships/hyperlink" Target="http://www.ice.uniwa.gr/education/undergraduate/internship/"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81C9-C5A2-47A9-9146-59B5FC39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Application>LibreOffice/5.2.7.2$Linux_X86_64 LibreOffice_project/20m0$Build-2</Application>
  <Pages>3</Pages>
  <Words>379</Words>
  <Characters>2501</Characters>
  <CharactersWithSpaces>2871</CharactersWithSpaces>
  <Paragraphs>27</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2018-10-11T07:20:00Z</dcterms:created>
  <dc:creator>user</dc:creator>
  <dc:description/>
  <dc:language>el-GR</dc:language>
  <cp:lastModifiedBy/>
  <dcterms:modified xsi:type="dcterms:W3CDTF">2019-05-08T09:37:22Z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